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宋体" w:eastAsia="方正小标宋简体" w:cs="宋体"/>
          <w:b/>
          <w:bCs/>
          <w:sz w:val="44"/>
          <w:szCs w:val="44"/>
        </w:rPr>
      </w:pPr>
      <w:r>
        <w:rPr>
          <w:rFonts w:hint="eastAsia" w:ascii="方正小标宋简体" w:hAnsi="宋体" w:eastAsia="方正小标宋简体" w:cs="宋体"/>
          <w:b/>
          <w:bCs/>
          <w:sz w:val="44"/>
          <w:szCs w:val="44"/>
        </w:rPr>
        <w:t xml:space="preserve">泸县公共资源交易中心 </w:t>
      </w:r>
    </w:p>
    <w:p>
      <w:pPr>
        <w:spacing w:line="660" w:lineRule="exact"/>
        <w:jc w:val="center"/>
        <w:rPr>
          <w:rFonts w:hint="eastAsia" w:ascii="方正小标宋简体" w:hAnsi="宋体" w:eastAsia="方正小标宋简体" w:cs="宋体"/>
          <w:b/>
          <w:bCs/>
          <w:sz w:val="44"/>
          <w:szCs w:val="44"/>
        </w:rPr>
      </w:pPr>
      <w:r>
        <w:rPr>
          <w:rFonts w:hint="eastAsia" w:ascii="方正小标宋简体" w:hAnsi="宋体" w:eastAsia="方正小标宋简体" w:cs="宋体"/>
          <w:b/>
          <w:bCs/>
          <w:sz w:val="44"/>
          <w:szCs w:val="44"/>
        </w:rPr>
        <w:t>关于 2021年部门预算编制的说明</w:t>
      </w:r>
    </w:p>
    <w:p>
      <w:pPr>
        <w:widowControl/>
        <w:shd w:val="clear" w:color="auto" w:fill="FFFFFF"/>
        <w:spacing w:before="450" w:after="450" w:line="570" w:lineRule="atLeast"/>
        <w:jc w:val="center"/>
        <w:outlineLvl w:val="9"/>
        <w:rPr>
          <w:rFonts w:hint="eastAsia" w:ascii="微软雅黑" w:hAnsi="微软雅黑" w:eastAsia="微软雅黑" w:cs="宋体"/>
          <w:b/>
          <w:bCs/>
          <w:color w:val="2D66A5"/>
          <w:kern w:val="0"/>
          <w:sz w:val="48"/>
          <w:szCs w:val="48"/>
        </w:rPr>
      </w:pPr>
    </w:p>
    <w:p>
      <w:pPr>
        <w:widowControl/>
        <w:shd w:val="clear" w:color="auto" w:fill="FFFFFF"/>
        <w:spacing w:before="450" w:after="450" w:line="570" w:lineRule="atLeast"/>
        <w:jc w:val="center"/>
        <w:outlineLvl w:val="9"/>
        <w:rPr>
          <w:rFonts w:hint="eastAsia" w:ascii="微软雅黑" w:hAnsi="微软雅黑" w:eastAsia="微软雅黑" w:cs="宋体"/>
          <w:b/>
          <w:bCs/>
          <w:color w:val="2D66A5"/>
          <w:kern w:val="0"/>
          <w:sz w:val="48"/>
          <w:szCs w:val="48"/>
        </w:rPr>
      </w:pPr>
    </w:p>
    <w:p>
      <w:pPr>
        <w:widowControl/>
        <w:shd w:val="clear" w:color="auto" w:fill="FFFFFF"/>
        <w:spacing w:before="450" w:after="450" w:line="570" w:lineRule="atLeast"/>
        <w:jc w:val="center"/>
        <w:outlineLvl w:val="9"/>
        <w:rPr>
          <w:rFonts w:hint="eastAsia" w:ascii="微软雅黑" w:hAnsi="微软雅黑" w:eastAsia="微软雅黑" w:cs="宋体"/>
          <w:b/>
          <w:bCs/>
          <w:color w:val="2D66A5"/>
          <w:kern w:val="0"/>
          <w:sz w:val="48"/>
          <w:szCs w:val="48"/>
        </w:rPr>
      </w:pPr>
    </w:p>
    <w:p>
      <w:pPr>
        <w:widowControl/>
        <w:shd w:val="clear" w:color="auto" w:fill="FFFFFF"/>
        <w:spacing w:before="450" w:after="450" w:line="570" w:lineRule="atLeast"/>
        <w:jc w:val="center"/>
        <w:outlineLvl w:val="9"/>
        <w:rPr>
          <w:rFonts w:hint="eastAsia" w:ascii="微软雅黑" w:hAnsi="微软雅黑" w:eastAsia="微软雅黑" w:cs="宋体"/>
          <w:b/>
          <w:bCs/>
          <w:color w:val="2D66A5"/>
          <w:kern w:val="0"/>
          <w:sz w:val="48"/>
          <w:szCs w:val="48"/>
        </w:rPr>
      </w:pPr>
    </w:p>
    <w:p>
      <w:pPr>
        <w:widowControl/>
        <w:shd w:val="clear" w:color="auto" w:fill="FFFFFF"/>
        <w:spacing w:before="450" w:after="450" w:line="570" w:lineRule="atLeast"/>
        <w:jc w:val="center"/>
        <w:outlineLvl w:val="9"/>
        <w:rPr>
          <w:rFonts w:hint="eastAsia" w:ascii="微软雅黑" w:hAnsi="微软雅黑" w:eastAsia="微软雅黑" w:cs="宋体"/>
          <w:b/>
          <w:bCs/>
          <w:color w:val="2D66A5"/>
          <w:kern w:val="0"/>
          <w:sz w:val="48"/>
          <w:szCs w:val="48"/>
        </w:rPr>
      </w:pPr>
    </w:p>
    <w:p>
      <w:pPr>
        <w:widowControl/>
        <w:shd w:val="clear" w:color="auto" w:fill="FFFFFF"/>
        <w:spacing w:before="450" w:after="450" w:line="570" w:lineRule="atLeast"/>
        <w:jc w:val="center"/>
        <w:outlineLvl w:val="9"/>
        <w:rPr>
          <w:rFonts w:hint="eastAsia" w:ascii="微软雅黑" w:hAnsi="微软雅黑" w:eastAsia="微软雅黑" w:cs="宋体"/>
          <w:b/>
          <w:bCs/>
          <w:color w:val="2D66A5"/>
          <w:kern w:val="0"/>
          <w:sz w:val="48"/>
          <w:szCs w:val="48"/>
        </w:rPr>
      </w:pPr>
    </w:p>
    <w:p>
      <w:pPr>
        <w:widowControl/>
        <w:shd w:val="clear" w:color="auto" w:fill="FFFFFF"/>
        <w:spacing w:before="450" w:after="450" w:line="570" w:lineRule="atLeast"/>
        <w:jc w:val="center"/>
        <w:outlineLvl w:val="9"/>
        <w:rPr>
          <w:rFonts w:hint="eastAsia" w:ascii="微软雅黑" w:hAnsi="微软雅黑" w:eastAsia="微软雅黑" w:cs="宋体"/>
          <w:b/>
          <w:bCs/>
          <w:color w:val="2D66A5"/>
          <w:kern w:val="0"/>
          <w:sz w:val="48"/>
          <w:szCs w:val="48"/>
        </w:rPr>
      </w:pPr>
    </w:p>
    <w:p>
      <w:pPr>
        <w:widowControl/>
        <w:shd w:val="clear" w:color="auto" w:fill="FFFFFF"/>
        <w:spacing w:before="450" w:after="450" w:line="570" w:lineRule="atLeast"/>
        <w:jc w:val="both"/>
        <w:outlineLvl w:val="9"/>
        <w:rPr>
          <w:rFonts w:hint="eastAsia" w:ascii="微软雅黑" w:hAnsi="微软雅黑" w:eastAsia="微软雅黑" w:cs="宋体"/>
          <w:b/>
          <w:bCs/>
          <w:color w:val="2D66A5"/>
          <w:kern w:val="0"/>
          <w:sz w:val="48"/>
          <w:szCs w:val="48"/>
        </w:rPr>
      </w:pPr>
    </w:p>
    <w:p>
      <w:pPr>
        <w:widowControl/>
        <w:shd w:val="clear" w:color="auto" w:fill="FFFFFF"/>
        <w:spacing w:before="450" w:after="450" w:line="570" w:lineRule="atLeast"/>
        <w:jc w:val="both"/>
        <w:outlineLvl w:val="9"/>
        <w:rPr>
          <w:rFonts w:hint="default" w:ascii="微软雅黑" w:hAnsi="微软雅黑" w:eastAsia="微软雅黑" w:cs="宋体"/>
          <w:b/>
          <w:bCs/>
          <w:color w:val="2D66A5"/>
          <w:kern w:val="0"/>
          <w:sz w:val="48"/>
          <w:szCs w:val="48"/>
          <w:lang w:val="en-US" w:eastAsia="zh-CN"/>
        </w:rPr>
      </w:pPr>
    </w:p>
    <w:sdt>
      <w:sdtPr>
        <w:rPr>
          <w:rFonts w:hint="eastAsia" w:ascii="黑体" w:hAnsi="黑体" w:eastAsia="黑体" w:cs="黑体"/>
          <w:kern w:val="2"/>
          <w:sz w:val="44"/>
          <w:szCs w:val="44"/>
          <w:lang w:val="en-US" w:eastAsia="zh-CN" w:bidi="ar-SA"/>
        </w:rPr>
        <w:id w:val="147482760"/>
        <w15:color w:val="DBDBDB"/>
        <w:docPartObj>
          <w:docPartGallery w:val="Table of Contents"/>
          <w:docPartUnique/>
        </w:docPartObj>
      </w:sdtPr>
      <w:sdtEndPr>
        <w:rPr>
          <w:rFonts w:hint="eastAsia" w:ascii="宋体" w:hAnsi="宋体" w:eastAsia="宋体" w:cs="宋体"/>
          <w:kern w:val="0"/>
          <w:sz w:val="18"/>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黑体" w:hAnsi="黑体" w:eastAsia="黑体" w:cs="黑体"/>
              <w:sz w:val="44"/>
              <w:szCs w:val="44"/>
            </w:rPr>
            <w:t>目录</w:t>
          </w:r>
          <w:r>
            <w:rPr>
              <w:rFonts w:hint="eastAsia" w:ascii="宋体" w:hAnsi="宋体" w:eastAsia="宋体" w:cs="宋体"/>
              <w:lang w:eastAsia="zh-CN"/>
            </w:rPr>
            <w:fldChar w:fldCharType="begin"/>
          </w:r>
          <w:r>
            <w:rPr>
              <w:rFonts w:hint="eastAsia" w:ascii="宋体" w:hAnsi="宋体" w:eastAsia="宋体" w:cs="宋体"/>
              <w:lang w:eastAsia="zh-CN"/>
            </w:rPr>
            <w:instrText xml:space="preserve">TOC \o "1-3" \h \u </w:instrText>
          </w:r>
          <w:r>
            <w:rPr>
              <w:rFonts w:hint="eastAsia" w:ascii="宋体" w:hAnsi="宋体" w:eastAsia="宋体" w:cs="宋体"/>
              <w:lang w:eastAsia="zh-CN"/>
            </w:rPr>
            <w:fldChar w:fldCharType="separate"/>
          </w:r>
        </w:p>
        <w:p>
          <w:pPr>
            <w:pStyle w:val="13"/>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_Toc2377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第一部分 部门概况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_Toc2377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_Toc19072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一、</w:t>
          </w:r>
          <w:r>
            <w:rPr>
              <w:rFonts w:hint="eastAsia" w:ascii="宋体" w:hAnsi="宋体" w:eastAsia="宋体" w:cs="宋体"/>
              <w:sz w:val="28"/>
              <w:szCs w:val="28"/>
            </w:rPr>
            <w:t>基本职能及主要工作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_Toc19072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4"/>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_Toc14373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（一）主要职责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_Toc14373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4"/>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_Toc22220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（二）机构设置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_Toc22220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4"/>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_Toc4546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（三）2021年重点工作</w:t>
          </w:r>
          <w:bookmarkStart w:id="18" w:name="_GoBack"/>
          <w:bookmarkEnd w:id="18"/>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_Toc4546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_Toc29461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二、预算收支总体情况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_Toc29461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_Toc21421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三、财政拨款支出预算安排情况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_Toc21421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_Toc12961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四、“三公”经费财政拨款预算安排情况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_Toc12961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_Toc10300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五、政府性基金预算支出情况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_Toc10300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_Toc4597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六、国有资本经营预算支出情况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_Toc4597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_Toc12127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七、政府性基金预算“三公”经费支出情况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_Toc12127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_Toc22735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八、其他重要事项的情况说明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_Toc22735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4"/>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_Toc25378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（一）机关运行经费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_Toc25378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4"/>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_Toc19762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（二）政府采购预算安排情况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_Toc19762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4"/>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_Toc23831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（三）国有资产占用情况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_Toc23831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4"/>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_Toc18325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（四）预算绩效情况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_Toc18325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2"/>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_Toc27716 </w:instrText>
          </w:r>
          <w:r>
            <w:rPr>
              <w:rFonts w:hint="eastAsia" w:ascii="宋体" w:hAnsi="宋体" w:eastAsia="宋体" w:cs="宋体"/>
              <w:sz w:val="28"/>
              <w:szCs w:val="28"/>
              <w:lang w:eastAsia="zh-CN"/>
            </w:rPr>
            <w:fldChar w:fldCharType="separate"/>
          </w:r>
          <w:r>
            <w:rPr>
              <w:rFonts w:hint="eastAsia" w:ascii="宋体" w:hAnsi="宋体" w:eastAsia="宋体" w:cs="宋体"/>
              <w:kern w:val="0"/>
              <w:sz w:val="28"/>
              <w:szCs w:val="28"/>
            </w:rPr>
            <w:t>九、名词解释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_Toc27716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13"/>
            <w:tabs>
              <w:tab w:val="right" w:leader="dot" w:pos="8306"/>
            </w:tabs>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_Toc31148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第二部分  2021年部门预算报表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_Toc31148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2"/>
            <w:rPr>
              <w:rFonts w:hint="eastAsia" w:ascii="宋体" w:hAnsi="宋体" w:eastAsia="宋体" w:cs="宋体"/>
              <w:lang w:eastAsia="zh-CN"/>
            </w:rPr>
          </w:pPr>
          <w:r>
            <w:rPr>
              <w:rFonts w:hint="eastAsia" w:ascii="宋体" w:hAnsi="宋体" w:eastAsia="宋体" w:cs="宋体"/>
              <w:lang w:eastAsia="zh-CN"/>
            </w:rPr>
            <w:fldChar w:fldCharType="end"/>
          </w:r>
        </w:p>
      </w:sdtContent>
    </w:sdt>
    <w:p>
      <w:pPr>
        <w:widowControl/>
        <w:shd w:val="clear" w:color="auto" w:fill="FFFFFF"/>
        <w:jc w:val="left"/>
        <w:rPr>
          <w:rFonts w:hint="eastAsia" w:ascii="宋体" w:hAnsi="宋体" w:eastAsia="宋体" w:cs="宋体"/>
          <w:b/>
          <w:color w:val="333333"/>
          <w:kern w:val="0"/>
          <w:sz w:val="44"/>
          <w:szCs w:val="44"/>
        </w:rPr>
      </w:pPr>
    </w:p>
    <w:p>
      <w:pPr>
        <w:widowControl/>
        <w:shd w:val="clear" w:color="auto" w:fill="FFFFFF"/>
        <w:ind w:left="180" w:firstLine="1325" w:firstLineChars="300"/>
        <w:jc w:val="left"/>
        <w:outlineLvl w:val="0"/>
        <w:rPr>
          <w:rFonts w:hint="eastAsia" w:ascii="黑体" w:hAnsi="黑体" w:eastAsia="黑体" w:cs="宋体"/>
          <w:b/>
          <w:color w:val="333333"/>
          <w:kern w:val="0"/>
          <w:sz w:val="44"/>
          <w:szCs w:val="44"/>
        </w:rPr>
      </w:pPr>
      <w:bookmarkStart w:id="0" w:name="_Toc2377"/>
    </w:p>
    <w:p>
      <w:pPr>
        <w:widowControl/>
        <w:shd w:val="clear" w:color="auto" w:fill="FFFFFF"/>
        <w:ind w:left="180" w:firstLine="1325" w:firstLineChars="300"/>
        <w:jc w:val="left"/>
        <w:outlineLvl w:val="0"/>
        <w:rPr>
          <w:rFonts w:hint="eastAsia" w:ascii="黑体" w:hAnsi="黑体" w:eastAsia="黑体" w:cs="宋体"/>
          <w:b/>
          <w:color w:val="333333"/>
          <w:kern w:val="0"/>
          <w:sz w:val="44"/>
          <w:szCs w:val="44"/>
        </w:rPr>
      </w:pPr>
    </w:p>
    <w:p>
      <w:pPr>
        <w:spacing w:line="578" w:lineRule="exact"/>
        <w:ind w:firstLine="720" w:firstLineChars="200"/>
        <w:jc w:val="center"/>
        <w:outlineLvl w:val="0"/>
        <w:rPr>
          <w:rFonts w:hint="eastAsia" w:ascii="黑体" w:hAnsi="黑体" w:eastAsia="黑体" w:cs="黑体"/>
          <w:sz w:val="36"/>
          <w:szCs w:val="36"/>
        </w:rPr>
      </w:pPr>
      <w:r>
        <w:rPr>
          <w:rFonts w:hint="eastAsia" w:ascii="黑体" w:hAnsi="黑体" w:eastAsia="黑体" w:cs="黑体"/>
          <w:sz w:val="36"/>
          <w:szCs w:val="36"/>
        </w:rPr>
        <w:t>第一部分 部门概况</w:t>
      </w:r>
      <w:bookmarkEnd w:id="0"/>
    </w:p>
    <w:p>
      <w:pPr>
        <w:spacing w:line="578" w:lineRule="exact"/>
        <w:ind w:firstLine="640" w:firstLineChars="200"/>
        <w:outlineLvl w:val="0"/>
        <w:rPr>
          <w:rFonts w:hint="eastAsia" w:ascii="黑体" w:hAnsi="黑体" w:eastAsia="黑体" w:cs="黑体"/>
          <w:sz w:val="32"/>
          <w:szCs w:val="32"/>
        </w:rPr>
      </w:pPr>
      <w:bookmarkStart w:id="1" w:name="_Toc19072"/>
      <w:r>
        <w:rPr>
          <w:rFonts w:hint="eastAsia" w:ascii="黑体" w:hAnsi="黑体" w:eastAsia="黑体" w:cs="黑体"/>
          <w:sz w:val="32"/>
          <w:szCs w:val="32"/>
        </w:rPr>
        <w:t>一、基本职能及主要工作</w:t>
      </w:r>
      <w:bookmarkEnd w:id="1"/>
    </w:p>
    <w:p>
      <w:pPr>
        <w:spacing w:line="578" w:lineRule="exact"/>
        <w:ind w:firstLine="640"/>
        <w:outlineLvl w:val="1"/>
        <w:rPr>
          <w:rFonts w:hint="eastAsia" w:ascii="仿宋_GB2312" w:hAnsi="宋体" w:eastAsia="仿宋_GB2312" w:cs="宋体"/>
          <w:sz w:val="32"/>
          <w:szCs w:val="32"/>
        </w:rPr>
      </w:pPr>
      <w:bookmarkStart w:id="2" w:name="_Toc14373"/>
      <w:r>
        <w:rPr>
          <w:rFonts w:hint="eastAsia" w:ascii="仿宋_GB2312" w:hAnsi="宋体" w:eastAsia="仿宋_GB2312" w:cs="宋体"/>
          <w:sz w:val="32"/>
          <w:szCs w:val="32"/>
        </w:rPr>
        <w:t>（一）主要职责</w:t>
      </w:r>
      <w:bookmarkEnd w:id="2"/>
    </w:p>
    <w:p>
      <w:pPr>
        <w:widowControl/>
        <w:shd w:val="clear" w:color="auto" w:fill="FFFFFF"/>
        <w:ind w:firstLine="555"/>
        <w:jc w:val="left"/>
        <w:rPr>
          <w:rFonts w:hint="eastAsia" w:ascii="微软雅黑" w:hAnsi="微软雅黑" w:eastAsia="微软雅黑" w:cs="宋体"/>
          <w:color w:val="333333"/>
          <w:kern w:val="0"/>
          <w:sz w:val="24"/>
          <w:szCs w:val="24"/>
        </w:rPr>
      </w:pPr>
      <w:r>
        <w:rPr>
          <w:rFonts w:hint="eastAsia" w:ascii="仿宋_GB2312" w:hAnsi="Times New Roman" w:eastAsia="仿宋_GB2312" w:cs="Times New Roman"/>
          <w:bCs/>
          <w:kern w:val="0"/>
          <w:sz w:val="32"/>
          <w:szCs w:val="32"/>
        </w:rPr>
        <w:t>泸县公共资源交易中心主要职责是：在全县公共资源集中进行市场化配置服务，集中履行县政府授权的全县公共资源交易职能。</w:t>
      </w:r>
      <w:r>
        <w:rPr>
          <w:rFonts w:hint="eastAsia" w:ascii="宋体" w:hAnsi="宋体" w:eastAsia="宋体" w:cs="宋体"/>
          <w:color w:val="333333"/>
          <w:kern w:val="0"/>
          <w:sz w:val="29"/>
          <w:szCs w:val="29"/>
        </w:rPr>
        <w:t>　　　　</w:t>
      </w:r>
    </w:p>
    <w:p>
      <w:pPr>
        <w:widowControl/>
        <w:shd w:val="clear" w:color="auto" w:fill="FFFFFF"/>
        <w:ind w:firstLine="555"/>
        <w:jc w:val="left"/>
        <w:outlineLvl w:val="2"/>
        <w:rPr>
          <w:rFonts w:hint="eastAsia" w:ascii="仿宋_GB2312" w:hAnsi="仿宋_GB2312" w:eastAsia="仿宋_GB2312" w:cs="仿宋_GB2312"/>
          <w:color w:val="333333"/>
          <w:kern w:val="0"/>
          <w:sz w:val="32"/>
          <w:szCs w:val="32"/>
        </w:rPr>
      </w:pPr>
      <w:bookmarkStart w:id="3" w:name="_Toc22220"/>
      <w:r>
        <w:rPr>
          <w:rFonts w:hint="eastAsia" w:ascii="仿宋_GB2312" w:hAnsi="仿宋_GB2312" w:eastAsia="仿宋_GB2312" w:cs="仿宋_GB2312"/>
          <w:color w:val="333333"/>
          <w:kern w:val="0"/>
          <w:sz w:val="32"/>
          <w:szCs w:val="32"/>
        </w:rPr>
        <w:t>（二）机构设置</w:t>
      </w:r>
      <w:bookmarkEnd w:id="3"/>
    </w:p>
    <w:p>
      <w:pPr>
        <w:widowControl/>
        <w:shd w:val="clear" w:color="auto" w:fill="FFFFFF"/>
        <w:ind w:firstLine="555"/>
        <w:jc w:val="lef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泸县公共资源交易中心设4个内设机构，主要有：办公室、工程采购交易股、资产地矿交易股、监审股。</w:t>
      </w:r>
    </w:p>
    <w:p>
      <w:pPr>
        <w:widowControl/>
        <w:shd w:val="clear" w:color="auto" w:fill="FFFFFF"/>
        <w:ind w:firstLine="570"/>
        <w:jc w:val="left"/>
        <w:outlineLvl w:val="2"/>
        <w:rPr>
          <w:rFonts w:hint="eastAsia" w:ascii="仿宋_GB2312" w:hAnsi="仿宋_GB2312" w:eastAsia="仿宋_GB2312" w:cs="仿宋_GB2312"/>
          <w:color w:val="333333"/>
          <w:kern w:val="0"/>
          <w:sz w:val="32"/>
          <w:szCs w:val="32"/>
        </w:rPr>
      </w:pPr>
      <w:bookmarkStart w:id="4" w:name="_Toc4546"/>
      <w:r>
        <w:rPr>
          <w:rFonts w:hint="eastAsia" w:ascii="仿宋_GB2312" w:hAnsi="仿宋_GB2312" w:eastAsia="仿宋_GB2312" w:cs="仿宋_GB2312"/>
          <w:color w:val="333333"/>
          <w:kern w:val="0"/>
          <w:sz w:val="32"/>
          <w:szCs w:val="32"/>
        </w:rPr>
        <w:t>（三）2021年重点工作</w:t>
      </w:r>
      <w:bookmarkEnd w:id="4"/>
    </w:p>
    <w:p>
      <w:pPr>
        <w:widowControl/>
        <w:shd w:val="clear" w:color="auto" w:fill="FFFFFF"/>
        <w:ind w:firstLine="555"/>
        <w:jc w:val="left"/>
        <w:rPr>
          <w:rFonts w:hint="eastAsia"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推进电子化平台建设，加强平台场地、硬件设施和服务标准化建设，营造和完善公正、公平的政府采购环境，优化服务，精简办事环节，进一步提升“放管服”水平，努力实现政府采购公平、高效、高质的奋斗目标。</w:t>
      </w:r>
    </w:p>
    <w:p>
      <w:pPr>
        <w:spacing w:line="578" w:lineRule="exact"/>
        <w:ind w:firstLine="640" w:firstLineChars="200"/>
        <w:outlineLvl w:val="0"/>
        <w:rPr>
          <w:rFonts w:hint="eastAsia" w:ascii="黑体" w:hAnsi="黑体" w:eastAsia="黑体" w:cs="黑体"/>
          <w:sz w:val="32"/>
          <w:szCs w:val="32"/>
        </w:rPr>
      </w:pPr>
      <w:bookmarkStart w:id="5" w:name="_Toc29461"/>
      <w:r>
        <w:rPr>
          <w:rFonts w:hint="eastAsia" w:ascii="黑体" w:hAnsi="黑体" w:eastAsia="黑体" w:cs="黑体"/>
          <w:sz w:val="32"/>
          <w:szCs w:val="32"/>
        </w:rPr>
        <w:t>二、预算收支总体情况</w:t>
      </w:r>
      <w:bookmarkEnd w:id="5"/>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按照综合预算的原则，泸县公共资源交易中心所有收入和支出均纳入部门预算管理。收入包括：一般公共预算拨款收入；支出包括：一般公共服务支出、社会保障和就业支出、卫生健康支出和住房保障支出。</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泸县公共资源交易中心2021年收入预算总额334.56万元，较上年预算收入减少6.49万元，下降1.9%。</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2021年支出预算总额334.56万元，较上年部门预算支出减少6.49万元，减少1.9%，减少主要原因为政府采购经费减少。其中：人员支出160.06万元、占47.84%，日常公用支出24.45万元、占7.31%，对个人和家庭的补助支出0.05万元、占0.01%，项目支出150万元、占44.84%。</w:t>
      </w:r>
    </w:p>
    <w:p>
      <w:pPr>
        <w:spacing w:line="578" w:lineRule="exact"/>
        <w:ind w:firstLine="640" w:firstLineChars="200"/>
        <w:outlineLvl w:val="0"/>
        <w:rPr>
          <w:rFonts w:hint="eastAsia" w:ascii="黑体" w:hAnsi="黑体" w:eastAsia="黑体" w:cs="黑体"/>
          <w:sz w:val="32"/>
          <w:szCs w:val="32"/>
        </w:rPr>
      </w:pPr>
      <w:bookmarkStart w:id="6" w:name="_Toc21421"/>
      <w:r>
        <w:rPr>
          <w:rFonts w:hint="eastAsia" w:ascii="黑体" w:hAnsi="黑体" w:eastAsia="黑体" w:cs="黑体"/>
          <w:sz w:val="32"/>
          <w:szCs w:val="32"/>
        </w:rPr>
        <w:t>三、财政拨款支出预算安排情况</w:t>
      </w:r>
      <w:bookmarkEnd w:id="6"/>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2021年部门基本支出预算总额为184.56万元。人员支出160.06万元，其中：基本工资64.69万元，津贴补贴45.6万元、绩效工资5.39万元、机关事业单位基本养老保险缴费18.5万元、职工基本医疗保险缴费10.38万元、其他社会保障缴费1.62万元、住房公积金13.88万元。日常公用支出24.45万元，其中：办公费5.8万元、印刷费2万元、手续费0.6万元、水费0.4万元、电费2万元、邮电费1万元、差旅费2.6万元、公务接待费1万元、工会经费1.3万元、福利费1.94万元、公务用车运行费3.5万元、其他商品与服务支出2.31万元。对个人和家庭的补助支出0.05万元，其中：独子费0.05万元。</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2021年部门项目支出（含政府采购预算）预算总额150.00万元，其中：网络通讯及维护费19.00万元、公共资源交易业务运行经费22万元、办公设备购置7.00万元、第一书记驻村工作经费2.00万元、劳务费90.00万元、上争外引工作经费10.00万元。</w:t>
      </w:r>
    </w:p>
    <w:p>
      <w:pPr>
        <w:spacing w:line="578" w:lineRule="exact"/>
        <w:ind w:firstLine="640" w:firstLineChars="200"/>
        <w:outlineLvl w:val="0"/>
        <w:rPr>
          <w:rFonts w:hint="eastAsia" w:ascii="黑体" w:hAnsi="黑体" w:eastAsia="黑体" w:cs="黑体"/>
          <w:sz w:val="32"/>
          <w:szCs w:val="32"/>
        </w:rPr>
      </w:pPr>
      <w:bookmarkStart w:id="7" w:name="_Toc12961"/>
      <w:r>
        <w:rPr>
          <w:rFonts w:hint="eastAsia" w:ascii="黑体" w:hAnsi="黑体" w:eastAsia="黑体" w:cs="黑体"/>
          <w:sz w:val="32"/>
          <w:szCs w:val="32"/>
        </w:rPr>
        <w:t>四、“三公”经费财政拨款预算安排情况</w:t>
      </w:r>
      <w:bookmarkEnd w:id="7"/>
    </w:p>
    <w:p>
      <w:pPr>
        <w:widowControl/>
        <w:shd w:val="clear" w:color="auto" w:fill="FFFFFF"/>
        <w:ind w:firstLine="57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公共资源交易中心2021年“三公”经费财政拨款预算数4.5万元，其中：公务接待费1万元，公务用车购置及运行维护费3.5万元。</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（一）因公出国（境）经费年初部门预算为0。</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（二）公务接待费较2020年预算持平。</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2021年公务接待费计划用于与市交易中心联系对接相关工作，区县公共资源交易中心之间的交流等公务活动开支的交通费、用餐费等。</w:t>
      </w:r>
    </w:p>
    <w:p>
      <w:pPr>
        <w:widowControl/>
        <w:shd w:val="clear" w:color="auto" w:fill="FFFFFF"/>
        <w:ind w:left="57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（三）公务用车购置及运行维护费与2020年预算持平。</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2021年未安排公务用车购置费。</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2021年安排公务用车运行维护费3.5万元，用于公务用车燃油、过路（桥）、维修、保险等方面支出，主要保障业务开展、扶贫等正常出行，降低运行成本，提高办事效率。</w:t>
      </w:r>
    </w:p>
    <w:p>
      <w:pPr>
        <w:spacing w:line="578" w:lineRule="exact"/>
        <w:ind w:firstLine="640" w:firstLineChars="200"/>
        <w:outlineLvl w:val="0"/>
        <w:rPr>
          <w:rFonts w:hint="eastAsia" w:ascii="黑体" w:hAnsi="黑体" w:eastAsia="黑体" w:cs="黑体"/>
          <w:sz w:val="32"/>
          <w:szCs w:val="32"/>
        </w:rPr>
      </w:pPr>
      <w:bookmarkStart w:id="8" w:name="_Toc10300"/>
      <w:r>
        <w:rPr>
          <w:rFonts w:hint="eastAsia" w:ascii="黑体" w:hAnsi="黑体" w:eastAsia="黑体" w:cs="黑体"/>
          <w:sz w:val="32"/>
          <w:szCs w:val="32"/>
        </w:rPr>
        <w:t>五、政府性基金预算支出情况</w:t>
      </w:r>
      <w:bookmarkEnd w:id="8"/>
    </w:p>
    <w:p>
      <w:pPr>
        <w:widowControl/>
        <w:shd w:val="clear" w:color="auto" w:fill="FFFFFF"/>
        <w:spacing w:line="345" w:lineRule="atLeast"/>
        <w:ind w:firstLine="66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泸县公共资源交易中心2021年政府性基金预算拨款安排支出0万元。</w:t>
      </w:r>
    </w:p>
    <w:p>
      <w:pPr>
        <w:spacing w:line="578" w:lineRule="exact"/>
        <w:ind w:firstLine="640" w:firstLineChars="200"/>
        <w:outlineLvl w:val="0"/>
        <w:rPr>
          <w:rFonts w:hint="eastAsia" w:ascii="黑体" w:hAnsi="黑体" w:eastAsia="黑体" w:cs="黑体"/>
          <w:sz w:val="32"/>
          <w:szCs w:val="32"/>
        </w:rPr>
      </w:pPr>
      <w:bookmarkStart w:id="9" w:name="_Toc4597"/>
      <w:r>
        <w:rPr>
          <w:rFonts w:hint="eastAsia" w:ascii="黑体" w:hAnsi="黑体" w:eastAsia="黑体" w:cs="黑体"/>
          <w:sz w:val="32"/>
          <w:szCs w:val="32"/>
        </w:rPr>
        <w:t>六、国有资本经营预算支出情况</w:t>
      </w:r>
      <w:bookmarkEnd w:id="9"/>
    </w:p>
    <w:p>
      <w:pPr>
        <w:widowControl/>
        <w:shd w:val="clear" w:color="auto" w:fill="FFFFFF"/>
        <w:spacing w:line="345" w:lineRule="atLeast"/>
        <w:ind w:firstLine="66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泸县公共资源交易中心2021年国有资本经营预算安排支出0万元。</w:t>
      </w:r>
    </w:p>
    <w:p>
      <w:pPr>
        <w:spacing w:line="578" w:lineRule="exact"/>
        <w:ind w:firstLine="640" w:firstLineChars="200"/>
        <w:outlineLvl w:val="0"/>
        <w:rPr>
          <w:rFonts w:hint="eastAsia" w:ascii="黑体" w:hAnsi="黑体" w:eastAsia="黑体" w:cs="黑体"/>
          <w:sz w:val="32"/>
          <w:szCs w:val="32"/>
        </w:rPr>
      </w:pPr>
      <w:bookmarkStart w:id="10" w:name="_Toc12127"/>
      <w:r>
        <w:rPr>
          <w:rFonts w:hint="eastAsia" w:ascii="黑体" w:hAnsi="黑体" w:eastAsia="黑体" w:cs="黑体"/>
          <w:sz w:val="32"/>
          <w:szCs w:val="32"/>
        </w:rPr>
        <w:t>七、政府性基金预算“三公”经费支出情况</w:t>
      </w:r>
      <w:bookmarkEnd w:id="10"/>
    </w:p>
    <w:p>
      <w:pPr>
        <w:widowControl/>
        <w:shd w:val="clear" w:color="auto" w:fill="FFFFFF"/>
        <w:spacing w:line="345" w:lineRule="atLeast"/>
        <w:ind w:firstLine="66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泸县公共资源交易中心2021年政府性基金预算“三公”经费预算数0万元。</w:t>
      </w:r>
    </w:p>
    <w:p>
      <w:pPr>
        <w:spacing w:line="578" w:lineRule="exact"/>
        <w:ind w:firstLine="640" w:firstLineChars="200"/>
        <w:outlineLvl w:val="0"/>
        <w:rPr>
          <w:rFonts w:hint="eastAsia" w:ascii="黑体" w:hAnsi="黑体" w:eastAsia="黑体" w:cs="黑体"/>
          <w:sz w:val="32"/>
          <w:szCs w:val="32"/>
        </w:rPr>
      </w:pPr>
      <w:bookmarkStart w:id="11" w:name="_Toc22735"/>
      <w:r>
        <w:rPr>
          <w:rFonts w:hint="eastAsia" w:ascii="黑体" w:hAnsi="黑体" w:eastAsia="黑体" w:cs="黑体"/>
          <w:sz w:val="32"/>
          <w:szCs w:val="32"/>
        </w:rPr>
        <w:t>八、其他重要事项的情况说明</w:t>
      </w:r>
      <w:bookmarkEnd w:id="11"/>
    </w:p>
    <w:p>
      <w:pPr>
        <w:widowControl/>
        <w:shd w:val="clear" w:color="auto" w:fill="FFFFFF"/>
        <w:spacing w:line="345" w:lineRule="atLeast"/>
        <w:ind w:firstLine="630"/>
        <w:outlineLvl w:val="2"/>
        <w:rPr>
          <w:rFonts w:hint="eastAsia" w:ascii="仿宋_GB2312" w:hAnsi="仿宋_GB2312" w:eastAsia="仿宋_GB2312" w:cs="仿宋_GB2312"/>
          <w:color w:val="333333"/>
          <w:kern w:val="0"/>
          <w:sz w:val="32"/>
          <w:szCs w:val="32"/>
        </w:rPr>
      </w:pPr>
      <w:bookmarkStart w:id="12" w:name="_Toc25378"/>
      <w:r>
        <w:rPr>
          <w:rFonts w:hint="eastAsia" w:ascii="仿宋_GB2312" w:hAnsi="仿宋_GB2312" w:eastAsia="仿宋_GB2312" w:cs="仿宋_GB2312"/>
          <w:color w:val="333333"/>
          <w:kern w:val="0"/>
          <w:sz w:val="32"/>
          <w:szCs w:val="32"/>
        </w:rPr>
        <w:t>（一）机关运行经费</w:t>
      </w:r>
      <w:bookmarkEnd w:id="12"/>
    </w:p>
    <w:p>
      <w:pPr>
        <w:widowControl/>
        <w:shd w:val="clear" w:color="auto" w:fill="FFFFFF"/>
        <w:spacing w:line="345" w:lineRule="atLeast"/>
        <w:ind w:firstLine="63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泸县公共资源交易中心为事业单位，无机关运行经费。</w:t>
      </w:r>
    </w:p>
    <w:p>
      <w:pPr>
        <w:widowControl/>
        <w:shd w:val="clear" w:color="auto" w:fill="FFFFFF"/>
        <w:spacing w:line="345" w:lineRule="atLeast"/>
        <w:ind w:firstLine="630"/>
        <w:outlineLvl w:val="2"/>
        <w:rPr>
          <w:rFonts w:hint="eastAsia" w:ascii="仿宋_GB2312" w:hAnsi="仿宋_GB2312" w:eastAsia="仿宋_GB2312" w:cs="仿宋_GB2312"/>
          <w:color w:val="333333"/>
          <w:kern w:val="0"/>
          <w:sz w:val="32"/>
          <w:szCs w:val="32"/>
        </w:rPr>
      </w:pPr>
      <w:bookmarkStart w:id="13" w:name="_Toc19762"/>
      <w:r>
        <w:rPr>
          <w:rFonts w:hint="eastAsia" w:ascii="仿宋_GB2312" w:hAnsi="仿宋_GB2312" w:eastAsia="仿宋_GB2312" w:cs="仿宋_GB2312"/>
          <w:color w:val="333333"/>
          <w:kern w:val="0"/>
          <w:sz w:val="32"/>
          <w:szCs w:val="32"/>
        </w:rPr>
        <w:t>（二）政府采购预算安排情况</w:t>
      </w:r>
      <w:bookmarkEnd w:id="13"/>
    </w:p>
    <w:p>
      <w:pPr>
        <w:widowControl/>
        <w:shd w:val="clear" w:color="auto" w:fill="FFFFFF"/>
        <w:spacing w:line="345" w:lineRule="atLeast"/>
        <w:ind w:firstLine="63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泸县公共资源交易中心政府采购预算7.00万元，比上年预算20万元减少13万元，下降65%相同，主要用于电子开评标设备购置。</w:t>
      </w:r>
    </w:p>
    <w:p>
      <w:pPr>
        <w:widowControl/>
        <w:shd w:val="clear" w:color="auto" w:fill="FFFFFF"/>
        <w:spacing w:line="345" w:lineRule="atLeast"/>
        <w:ind w:firstLine="630"/>
        <w:outlineLvl w:val="2"/>
        <w:rPr>
          <w:rFonts w:hint="eastAsia" w:ascii="仿宋_GB2312" w:hAnsi="仿宋_GB2312" w:eastAsia="仿宋_GB2312" w:cs="仿宋_GB2312"/>
          <w:color w:val="333333"/>
          <w:kern w:val="0"/>
          <w:sz w:val="32"/>
          <w:szCs w:val="32"/>
        </w:rPr>
      </w:pPr>
      <w:bookmarkStart w:id="14" w:name="_Toc23831"/>
      <w:r>
        <w:rPr>
          <w:rFonts w:hint="eastAsia" w:ascii="仿宋_GB2312" w:hAnsi="仿宋_GB2312" w:eastAsia="仿宋_GB2312" w:cs="仿宋_GB2312"/>
          <w:color w:val="333333"/>
          <w:kern w:val="0"/>
          <w:sz w:val="32"/>
          <w:szCs w:val="32"/>
        </w:rPr>
        <w:t>（三）国有资产占用情况</w:t>
      </w:r>
      <w:bookmarkEnd w:id="14"/>
    </w:p>
    <w:p>
      <w:pPr>
        <w:widowControl/>
        <w:shd w:val="clear" w:color="auto" w:fill="FFFFFF"/>
        <w:spacing w:line="345" w:lineRule="atLeast"/>
        <w:ind w:firstLine="63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截至2020年底，泸县公共资源交易中心共有车辆1辆，其中一般公务用车1辆。2021年部门预算未安排购置车辆及单位价值200万元以上大型设备。</w:t>
      </w:r>
    </w:p>
    <w:p>
      <w:pPr>
        <w:widowControl/>
        <w:shd w:val="clear" w:color="auto" w:fill="FFFFFF"/>
        <w:spacing w:line="345" w:lineRule="atLeast"/>
        <w:ind w:firstLine="630"/>
        <w:outlineLvl w:val="2"/>
        <w:rPr>
          <w:rFonts w:hint="eastAsia" w:ascii="仿宋_GB2312" w:hAnsi="仿宋_GB2312" w:eastAsia="仿宋_GB2312" w:cs="仿宋_GB2312"/>
          <w:color w:val="333333"/>
          <w:kern w:val="0"/>
          <w:sz w:val="32"/>
          <w:szCs w:val="32"/>
        </w:rPr>
      </w:pPr>
      <w:bookmarkStart w:id="15" w:name="_Toc18325"/>
      <w:r>
        <w:rPr>
          <w:rFonts w:hint="eastAsia" w:ascii="仿宋_GB2312" w:hAnsi="仿宋_GB2312" w:eastAsia="仿宋_GB2312" w:cs="仿宋_GB2312"/>
          <w:color w:val="333333"/>
          <w:kern w:val="0"/>
          <w:sz w:val="32"/>
          <w:szCs w:val="32"/>
        </w:rPr>
        <w:t>（四）预算绩效情况</w:t>
      </w:r>
      <w:bookmarkEnd w:id="15"/>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绩效目标是预算编制的前提和基础，按照“费随事定”的原则，2021年泸县公共资源交易中心全部项目按要求编制了绩效目标，从项目完成、项目效益、满意度等方面设置了绩效指标，综合反映项目预期完成的数量、成本、时效、质量，预期达到的社会效益、经济效益、生态效益、可持续影响以及服务对象满意度等情况。</w:t>
      </w:r>
    </w:p>
    <w:p>
      <w:pPr>
        <w:spacing w:line="578" w:lineRule="exact"/>
        <w:ind w:firstLine="640" w:firstLineChars="200"/>
        <w:outlineLvl w:val="0"/>
        <w:rPr>
          <w:rFonts w:hint="eastAsia" w:ascii="黑体" w:hAnsi="黑体" w:eastAsia="黑体" w:cs="黑体"/>
          <w:sz w:val="32"/>
          <w:szCs w:val="32"/>
        </w:rPr>
      </w:pPr>
      <w:bookmarkStart w:id="16" w:name="_Toc27716"/>
      <w:r>
        <w:rPr>
          <w:rFonts w:hint="eastAsia" w:ascii="黑体" w:hAnsi="黑体" w:eastAsia="黑体" w:cs="黑体"/>
          <w:sz w:val="32"/>
          <w:szCs w:val="32"/>
        </w:rPr>
        <w:t>九、名词解释</w:t>
      </w:r>
      <w:bookmarkEnd w:id="16"/>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（一）一般公共预算拨款收入：指县级财政当年拨付的资金。</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（二）上年结转：指以前年度尚未完成，结转到本年仍按原规定用途继续使用的资金。</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（三）社会保障和就业（类）行政事业单位离退休（款）机关事业单位基本养老保险缴费支出（项）：指部门实施养老保险制度由单位缴纳的养老保险费的支出。</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（四）卫生健康（类）行政事业单位医疗（款）行政单位医疗（项）：指机关及参公管理事业单位用于缴纳单位基本医疗保险支出。</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（五）卫生健康（类）行政事业单位医疗（款）事业单位医疗（项）：指事业单位用于缴纳单位基本医疗保险支出。</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（六）卫生健康（类）行政事业单位医疗（款）公务员医疗补助（项）：指机关及参公管理事业单位用于集中缴纳公务员医疗补助支出。</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（七）住房保障（类）住房改革支出（款）住房公积金（项）：指按照《住房公积金管理条例》的规定，由单位及其在职职工缴存的长期住房储金。</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（八）基本支出：指为保证机构正常运转，完成日常工作任务而发生的人员支出和公用支出。</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（九）项目支出：指在基本支出之外为完成特定行政任务和事业发展目标所发生的支出。</w:t>
      </w:r>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三公”经费：纳入单位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bookmarkStart w:id="17" w:name="_Toc31148"/>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pStyle w:val="5"/>
        <w:shd w:val="clear" w:color="auto" w:fill="FFFFFF"/>
        <w:spacing w:before="0" w:beforeAutospacing="0" w:after="0" w:afterAutospacing="0"/>
        <w:ind w:firstLine="542" w:firstLineChars="150"/>
        <w:jc w:val="center"/>
        <w:outlineLvl w:val="0"/>
        <w:rPr>
          <w:rFonts w:hint="eastAsia" w:ascii="黑体" w:hAnsi="黑体" w:eastAsia="黑体" w:cs="黑体"/>
          <w:b/>
          <w:color w:val="333333"/>
          <w:sz w:val="36"/>
          <w:szCs w:val="36"/>
        </w:rPr>
      </w:pPr>
    </w:p>
    <w:p>
      <w:pPr>
        <w:spacing w:line="578" w:lineRule="exact"/>
        <w:ind w:firstLine="720" w:firstLineChars="200"/>
        <w:jc w:val="center"/>
        <w:outlineLvl w:val="0"/>
        <w:rPr>
          <w:rFonts w:hint="eastAsia" w:ascii="黑体" w:hAnsi="黑体" w:eastAsia="黑体" w:cs="黑体"/>
          <w:sz w:val="36"/>
          <w:szCs w:val="36"/>
        </w:rPr>
      </w:pPr>
      <w:r>
        <w:rPr>
          <w:rFonts w:hint="eastAsia" w:ascii="黑体" w:hAnsi="黑体" w:eastAsia="黑体" w:cs="黑体"/>
          <w:sz w:val="36"/>
          <w:szCs w:val="36"/>
        </w:rPr>
        <w:t>第二部分  2021年部门预算报表</w:t>
      </w:r>
      <w:bookmarkEnd w:id="17"/>
    </w:p>
    <w:p>
      <w:pPr>
        <w:widowControl/>
        <w:shd w:val="clear" w:color="auto" w:fill="FFFFFF"/>
        <w:ind w:firstLine="55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附件：表1.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333333"/>
          <w:kern w:val="0"/>
          <w:sz w:val="32"/>
          <w:szCs w:val="32"/>
        </w:rPr>
        <w:t>部门收支总表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表1-1. 部门预算收入总表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表1-2. 部门预算支出总表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表2. 财政拨款收支预算总表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表2-1. 财政拨款支出预算表（政府经济分类科目）</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表3. 一般公共预算支出预算表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表3-1. 一般公共预算基本支出预算表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表3-2. 一般公共预算项目支出预算表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表3-3. 一般公共预算“三公”经费支出预算表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表4.政府性基金支出预算表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表4-1. 政府性基金“三公”经费支出预算表</w:t>
      </w:r>
    </w:p>
    <w:p>
      <w:pPr>
        <w:widowControl/>
        <w:shd w:val="clear" w:color="auto" w:fill="FFFFFF"/>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表5. 国有资本经营预算支出预算表</w:t>
      </w:r>
      <w:r>
        <w:rPr>
          <w:rFonts w:hint="eastAsia" w:ascii="仿宋_GB2312" w:hAnsi="仿宋_GB2312" w:eastAsia="仿宋_GB2312" w:cs="仿宋_GB2312"/>
          <w:color w:val="333333"/>
          <w:kern w:val="0"/>
          <w:sz w:val="32"/>
          <w:szCs w:val="32"/>
        </w:rPr>
        <w:br w:type="textWrapping"/>
      </w:r>
      <w:r>
        <w:rPr>
          <w:rFonts w:hint="eastAsia" w:ascii="仿宋_GB2312" w:hAnsi="仿宋_GB2312" w:eastAsia="仿宋_GB2312" w:cs="仿宋_GB2312"/>
          <w:color w:val="333333"/>
          <w:kern w:val="0"/>
          <w:sz w:val="32"/>
          <w:szCs w:val="32"/>
        </w:rPr>
        <w:t>　　表6. 2021年部门预算项目绩效目标</w:t>
      </w:r>
    </w:p>
    <w:p>
      <w:pPr>
        <w:widowControl/>
        <w:shd w:val="clear" w:color="auto" w:fill="FFFFFF"/>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表7. 部门整体支出绩效目标申报表（2021年度）</w:t>
      </w:r>
    </w:p>
    <w:p>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tabs>
        <w:tab w:val="center" w:pos="4153"/>
        <w:tab w:val="right" w:pos="8306"/>
      </w:tabs>
      <w:rPr>
        <w:rStyle w:val="8"/>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zh-CN" w:eastAsia="zh-CN"/>
      </w:rPr>
      <w:t>4</w:t>
    </w:r>
    <w:r>
      <w:rPr>
        <w:sz w:val="28"/>
        <w:szCs w:val="28"/>
      </w:rPr>
      <w:fldChar w:fldCharType="end"/>
    </w:r>
    <w:r>
      <w:rPr>
        <w:rStyle w:val="8"/>
        <w:rFonts w:hint="eastAsia"/>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zNDdhNTAxODFiNGU0YjQyMjU1ZDQyNjc4ZDg4ZDMifQ=="/>
  </w:docVars>
  <w:rsids>
    <w:rsidRoot w:val="006F3C2A"/>
    <w:rsid w:val="006F3C2A"/>
    <w:rsid w:val="008C43F1"/>
    <w:rsid w:val="009C5C85"/>
    <w:rsid w:val="00DE13A2"/>
    <w:rsid w:val="00F23FCC"/>
    <w:rsid w:val="00F77345"/>
    <w:rsid w:val="13C36233"/>
    <w:rsid w:val="36B54FAC"/>
    <w:rsid w:val="48AD320D"/>
    <w:rsid w:val="661F57E1"/>
    <w:rsid w:val="6DB4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snapToGrid w:val="0"/>
      <w:jc w:val="left"/>
    </w:pPr>
    <w:rPr>
      <w:rFonts w:ascii="Calibri" w:hAnsi="Calibri"/>
      <w:kern w:val="0"/>
      <w:sz w:val="18"/>
      <w:szCs w:val="20"/>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rPr>
      <w:rFonts w:ascii="Times New Roman" w:hAnsi="Times New Roman" w:eastAsia="宋体" w:cs="Times New Roman"/>
    </w:rPr>
  </w:style>
  <w:style w:type="character" w:styleId="9">
    <w:name w:val="Hyperlink"/>
    <w:basedOn w:val="7"/>
    <w:semiHidden/>
    <w:unhideWhenUsed/>
    <w:qFormat/>
    <w:uiPriority w:val="99"/>
    <w:rPr>
      <w:color w:val="0000FF"/>
      <w:u w:val="single"/>
    </w:rPr>
  </w:style>
  <w:style w:type="character" w:customStyle="1" w:styleId="10">
    <w:name w:val="标题 2 Char"/>
    <w:basedOn w:val="7"/>
    <w:link w:val="3"/>
    <w:qFormat/>
    <w:uiPriority w:val="9"/>
    <w:rPr>
      <w:rFonts w:ascii="宋体" w:hAnsi="宋体" w:eastAsia="宋体" w:cs="宋体"/>
      <w:b/>
      <w:bCs/>
      <w:kern w:val="0"/>
      <w:sz w:val="36"/>
      <w:szCs w:val="36"/>
    </w:rPr>
  </w:style>
  <w:style w:type="character" w:customStyle="1" w:styleId="11">
    <w:name w:val="size"/>
    <w:basedOn w:val="7"/>
    <w:qFormat/>
    <w:uiPriority w:val="0"/>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2812</Words>
  <Characters>3596</Characters>
  <Lines>23</Lines>
  <Paragraphs>6</Paragraphs>
  <TotalTime>5</TotalTime>
  <ScaleCrop>false</ScaleCrop>
  <LinksUpToDate>false</LinksUpToDate>
  <CharactersWithSpaces>3711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2021-05-19T02:47:00Z</dcterms:created>
  <dc:creator>PC</dc:creator>
  <cp:lastModifiedBy>Administrator</cp:lastModifiedBy>
  <dcterms:modified xsi:type="dcterms:W3CDTF">2022-07-04T02:54:34Z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5524901EAB4F4ED48B9606BCA0792B61</vt:lpwstr>
  </property>
</Properties>
</file>